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DDD13">
      <w:pPr>
        <w:spacing w:after="0" w:line="366" w:lineRule="exact"/>
        <w:jc w:val="center"/>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32"/>
          <w:szCs w:val="32"/>
        </w:rPr>
        <w:t>平台对产生交易纠葛的办理</w:t>
      </w:r>
      <w:r>
        <w:rPr>
          <w:rFonts w:hint="eastAsia" w:ascii="微软雅黑" w:hAnsi="微软雅黑" w:eastAsia="微软雅黑" w:cs="微软雅黑"/>
          <w:b/>
          <w:bCs/>
          <w:color w:val="auto"/>
          <w:sz w:val="32"/>
          <w:szCs w:val="32"/>
          <w:lang w:val="en-US" w:eastAsia="zh-CN"/>
        </w:rPr>
        <w:t>机</w:t>
      </w:r>
      <w:r>
        <w:rPr>
          <w:rFonts w:hint="eastAsia" w:ascii="微软雅黑" w:hAnsi="微软雅黑" w:eastAsia="微软雅黑" w:cs="微软雅黑"/>
          <w:b/>
          <w:bCs/>
          <w:color w:val="auto"/>
          <w:sz w:val="32"/>
          <w:szCs w:val="32"/>
        </w:rPr>
        <w:t>制</w:t>
      </w:r>
    </w:p>
    <w:p w14:paraId="6BA856EB">
      <w:pPr>
        <w:spacing w:after="0" w:line="200" w:lineRule="exact"/>
        <w:rPr>
          <w:rFonts w:hint="eastAsia" w:ascii="微软雅黑" w:hAnsi="微软雅黑" w:eastAsia="微软雅黑" w:cs="微软雅黑"/>
          <w:color w:val="auto"/>
          <w:sz w:val="24"/>
          <w:szCs w:val="24"/>
        </w:rPr>
      </w:pPr>
    </w:p>
    <w:p w14:paraId="1A6A029C">
      <w:pPr>
        <w:spacing w:after="0" w:line="240" w:lineRule="auto"/>
        <w:ind w:firstLine="540" w:firstLineChars="200"/>
        <w:jc w:val="both"/>
        <w:rPr>
          <w:rFonts w:hint="eastAsia" w:ascii="微软雅黑" w:hAnsi="微软雅黑" w:eastAsia="微软雅黑" w:cs="微软雅黑"/>
          <w:b/>
          <w:bCs/>
          <w:color w:val="auto"/>
          <w:sz w:val="26"/>
          <w:szCs w:val="26"/>
        </w:rPr>
      </w:pPr>
      <w:r>
        <w:rPr>
          <w:rFonts w:hint="eastAsia" w:ascii="微软雅黑" w:hAnsi="微软雅黑" w:eastAsia="微软雅黑" w:cs="微软雅黑"/>
          <w:b/>
          <w:bCs/>
          <w:color w:val="auto"/>
          <w:sz w:val="27"/>
          <w:szCs w:val="27"/>
        </w:rPr>
        <w:t>针对</w:t>
      </w:r>
      <w:r>
        <w:rPr>
          <w:rFonts w:hint="eastAsia" w:ascii="微软雅黑" w:hAnsi="微软雅黑" w:eastAsia="微软雅黑" w:cs="微软雅黑"/>
          <w:b/>
          <w:bCs/>
          <w:color w:val="auto"/>
          <w:sz w:val="27"/>
          <w:szCs w:val="27"/>
          <w:lang w:eastAsia="zh-CN"/>
        </w:rPr>
        <w:t>成都木寸数渠聚势科技有限公司</w:t>
      </w:r>
      <w:r>
        <w:rPr>
          <w:rFonts w:hint="eastAsia" w:ascii="微软雅黑" w:hAnsi="微软雅黑" w:eastAsia="微软雅黑" w:cs="微软雅黑"/>
          <w:b/>
          <w:bCs/>
          <w:color w:val="auto"/>
          <w:sz w:val="27"/>
          <w:szCs w:val="27"/>
        </w:rPr>
        <w:t>所属电子商务平台“</w:t>
      </w:r>
      <w:r>
        <w:rPr>
          <w:rFonts w:hint="eastAsia" w:ascii="微软雅黑" w:hAnsi="微软雅黑" w:eastAsia="微软雅黑" w:cs="微软雅黑"/>
          <w:b/>
          <w:bCs/>
          <w:color w:val="auto"/>
          <w:sz w:val="27"/>
          <w:szCs w:val="27"/>
          <w:lang w:val="en-US" w:eastAsia="zh-CN"/>
        </w:rPr>
        <w:t>木寸数科</w:t>
      </w:r>
      <w:r>
        <w:rPr>
          <w:rFonts w:hint="eastAsia" w:ascii="微软雅黑" w:hAnsi="微软雅黑" w:eastAsia="微软雅黑" w:cs="微软雅黑"/>
          <w:b/>
          <w:bCs/>
          <w:color w:val="auto"/>
          <w:sz w:val="27"/>
          <w:szCs w:val="27"/>
        </w:rPr>
        <w:t>”， 以下简称平台。在业务展开过程中可能产生的交易纠葛，</w:t>
      </w:r>
      <w:r>
        <w:rPr>
          <w:rFonts w:hint="eastAsia" w:ascii="微软雅黑" w:hAnsi="微软雅黑" w:eastAsia="微软雅黑" w:cs="微软雅黑"/>
          <w:b/>
          <w:bCs/>
          <w:color w:val="auto"/>
          <w:sz w:val="26"/>
          <w:szCs w:val="26"/>
        </w:rPr>
        <w:t>平台实行以下办理体制。</w:t>
      </w:r>
    </w:p>
    <w:p w14:paraId="60CEBD43">
      <w:pPr>
        <w:spacing w:after="0" w:line="470" w:lineRule="exact"/>
        <w:ind w:left="-159"/>
        <w:jc w:val="center"/>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一、部门职责</w:t>
      </w:r>
    </w:p>
    <w:p w14:paraId="24C18AD3">
      <w:pPr>
        <w:spacing w:after="0" w:line="217" w:lineRule="exact"/>
        <w:rPr>
          <w:rFonts w:hint="eastAsia" w:ascii="微软雅黑" w:hAnsi="微软雅黑" w:eastAsia="微软雅黑" w:cs="微软雅黑"/>
          <w:color w:val="auto"/>
          <w:sz w:val="24"/>
          <w:szCs w:val="24"/>
        </w:rPr>
      </w:pPr>
    </w:p>
    <w:p w14:paraId="234F7B4B">
      <w:pPr>
        <w:spacing w:after="0" w:line="326" w:lineRule="exact"/>
        <w:ind w:firstLine="540" w:firstLineChars="200"/>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lang w:eastAsia="zh-CN"/>
        </w:rPr>
        <w:t>成都木寸数渠聚势科技有限公司</w:t>
      </w:r>
      <w:r>
        <w:rPr>
          <w:rFonts w:hint="eastAsia" w:ascii="微软雅黑" w:hAnsi="微软雅黑" w:eastAsia="微软雅黑" w:cs="微软雅黑"/>
          <w:b/>
          <w:bCs/>
          <w:color w:val="auto"/>
          <w:sz w:val="26"/>
          <w:szCs w:val="26"/>
        </w:rPr>
        <w:t xml:space="preserve">指定客户服务责任人，负责客户交易纠葛的预 </w:t>
      </w:r>
      <w:r>
        <w:rPr>
          <w:rFonts w:hint="eastAsia" w:ascii="微软雅黑" w:hAnsi="微软雅黑" w:eastAsia="微软雅黑" w:cs="微软雅黑"/>
          <w:b/>
          <w:bCs/>
          <w:color w:val="auto"/>
          <w:sz w:val="27"/>
          <w:szCs w:val="27"/>
        </w:rPr>
        <w:t>办理，包含与客户充分交流磋商，纠葛的</w:t>
      </w:r>
      <w:r>
        <w:rPr>
          <w:rFonts w:hint="eastAsia" w:ascii="微软雅黑" w:hAnsi="微软雅黑" w:eastAsia="微软雅黑" w:cs="微软雅黑"/>
          <w:b/>
          <w:bCs/>
          <w:color w:val="auto"/>
          <w:sz w:val="27"/>
          <w:szCs w:val="27"/>
          <w:lang w:val="en-US" w:eastAsia="zh-CN"/>
        </w:rPr>
        <w:t>木寸数科</w:t>
      </w:r>
      <w:r>
        <w:rPr>
          <w:rFonts w:hint="eastAsia" w:ascii="微软雅黑" w:hAnsi="微软雅黑" w:eastAsia="微软雅黑" w:cs="微软雅黑"/>
          <w:b/>
          <w:bCs/>
          <w:color w:val="auto"/>
          <w:sz w:val="27"/>
          <w:szCs w:val="27"/>
        </w:rPr>
        <w:t xml:space="preserve">传达、资料的采集、传达和报告， 并负责配合对已形成的诉讼纠葛进行办理，辅助风险管理部收信相应的凭证材料。 </w:t>
      </w:r>
    </w:p>
    <w:p w14:paraId="7329C54B">
      <w:pPr>
        <w:spacing w:after="0" w:line="285" w:lineRule="exact"/>
        <w:rPr>
          <w:rFonts w:hint="eastAsia" w:ascii="微软雅黑" w:hAnsi="微软雅黑" w:eastAsia="微软雅黑" w:cs="微软雅黑"/>
          <w:color w:val="auto"/>
          <w:sz w:val="24"/>
          <w:szCs w:val="24"/>
        </w:rPr>
      </w:pPr>
    </w:p>
    <w:p w14:paraId="7D381C02">
      <w:pPr>
        <w:spacing w:after="0" w:line="425" w:lineRule="exact"/>
        <w:ind w:right="158" w:firstLine="585"/>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企业有关部门成立客户投诉办理体制，明确客户投诉门路，在</w:t>
      </w:r>
      <w:r>
        <w:rPr>
          <w:rFonts w:hint="eastAsia" w:ascii="微软雅黑" w:hAnsi="微软雅黑" w:eastAsia="微软雅黑" w:cs="微软雅黑"/>
          <w:b/>
          <w:bCs/>
          <w:color w:val="auto"/>
          <w:sz w:val="27"/>
          <w:szCs w:val="27"/>
          <w:lang w:eastAsia="zh-CN"/>
        </w:rPr>
        <w:t>木寸数科</w:t>
      </w:r>
      <w:r>
        <w:rPr>
          <w:rFonts w:hint="eastAsia" w:ascii="微软雅黑" w:hAnsi="微软雅黑" w:eastAsia="微软雅黑" w:cs="微软雅黑"/>
          <w:b/>
          <w:bCs/>
          <w:color w:val="auto"/>
          <w:sz w:val="27"/>
          <w:szCs w:val="27"/>
        </w:rPr>
        <w:t xml:space="preserve">重要地点 宣布投诉办理电话、其余联系方式，并指定特意人员负责客户投诉办理，仔细、 实时办理用户的投诉和建议，实时向用户反应办理结果，并做好记录，成立投诉办理不妥的责任追查和体制。 </w:t>
      </w:r>
    </w:p>
    <w:p w14:paraId="0A114DE2">
      <w:pPr>
        <w:spacing w:after="0" w:line="200" w:lineRule="exact"/>
        <w:rPr>
          <w:rFonts w:hint="eastAsia" w:ascii="微软雅黑" w:hAnsi="微软雅黑" w:eastAsia="微软雅黑" w:cs="微软雅黑"/>
          <w:color w:val="auto"/>
          <w:sz w:val="24"/>
          <w:szCs w:val="24"/>
        </w:rPr>
      </w:pPr>
    </w:p>
    <w:p w14:paraId="72CBBD7A">
      <w:pPr>
        <w:spacing w:after="0" w:line="265" w:lineRule="exact"/>
        <w:rPr>
          <w:rFonts w:hint="eastAsia" w:ascii="微软雅黑" w:hAnsi="微软雅黑" w:eastAsia="微软雅黑" w:cs="微软雅黑"/>
          <w:color w:val="auto"/>
          <w:sz w:val="24"/>
          <w:szCs w:val="24"/>
        </w:rPr>
      </w:pPr>
    </w:p>
    <w:p w14:paraId="06E49DC2">
      <w:pPr>
        <w:spacing w:after="0" w:line="409" w:lineRule="exact"/>
        <w:ind w:right="-1" w:firstLine="585"/>
        <w:jc w:val="both"/>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客户服务中心负责对客户投诉的集中办理，包含建立客户服务代理接受客户电话投诉、协调办理有关部门与客户交流无果的投诉恳求，并检查有关业务部门的办理结果。 </w:t>
      </w:r>
    </w:p>
    <w:p w14:paraId="3E4D8E50">
      <w:pPr>
        <w:spacing w:after="0" w:line="200" w:lineRule="exact"/>
        <w:rPr>
          <w:rFonts w:hint="eastAsia" w:ascii="微软雅黑" w:hAnsi="微软雅黑" w:eastAsia="微软雅黑" w:cs="微软雅黑"/>
          <w:color w:val="auto"/>
          <w:sz w:val="24"/>
          <w:szCs w:val="24"/>
        </w:rPr>
      </w:pPr>
    </w:p>
    <w:p w14:paraId="00E63CA6">
      <w:pPr>
        <w:spacing w:after="0" w:line="285" w:lineRule="exact"/>
        <w:rPr>
          <w:rFonts w:hint="eastAsia" w:ascii="微软雅黑" w:hAnsi="微软雅黑" w:eastAsia="微软雅黑" w:cs="微软雅黑"/>
          <w:color w:val="auto"/>
          <w:sz w:val="24"/>
          <w:szCs w:val="24"/>
        </w:rPr>
      </w:pPr>
    </w:p>
    <w:p w14:paraId="671C5D88">
      <w:pPr>
        <w:spacing w:after="0" w:line="409" w:lineRule="exact"/>
        <w:ind w:right="-1" w:firstLine="585"/>
        <w:jc w:val="both"/>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风险管理部负责客户交易纠葛所涉法律问题的办理，包含向企业有关部门供给客户投诉办理的法律建议，办理已形成的诉讼类纠葛，以及负责对企业自行办理的诉讼纠结进行协调、监察和检查。 </w:t>
      </w:r>
    </w:p>
    <w:p w14:paraId="16628850">
      <w:pPr>
        <w:spacing w:after="0" w:line="256" w:lineRule="exact"/>
        <w:rPr>
          <w:rFonts w:hint="eastAsia" w:ascii="微软雅黑" w:hAnsi="微软雅黑" w:eastAsia="微软雅黑" w:cs="微软雅黑"/>
          <w:color w:val="auto"/>
          <w:sz w:val="24"/>
          <w:szCs w:val="24"/>
        </w:rPr>
      </w:pPr>
    </w:p>
    <w:p w14:paraId="2445309D">
      <w:pPr>
        <w:spacing w:after="0" w:line="328" w:lineRule="exact"/>
        <w:jc w:val="center"/>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二、客户交易纠结的分类办理</w:t>
      </w:r>
    </w:p>
    <w:p w14:paraId="1440DB53">
      <w:pPr>
        <w:spacing w:after="0" w:line="382" w:lineRule="exact"/>
        <w:rPr>
          <w:rFonts w:hint="eastAsia" w:ascii="微软雅黑" w:hAnsi="微软雅黑" w:eastAsia="微软雅黑" w:cs="微软雅黑"/>
          <w:color w:val="auto"/>
          <w:sz w:val="24"/>
          <w:szCs w:val="24"/>
        </w:rPr>
      </w:pPr>
    </w:p>
    <w:p w14:paraId="644F69B6">
      <w:pPr>
        <w:spacing w:after="0" w:line="364" w:lineRule="exact"/>
        <w:ind w:right="198" w:firstLine="585"/>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企业有关部门负责对客户交易纠葛</w:t>
      </w:r>
      <w:r>
        <w:rPr>
          <w:rFonts w:hint="eastAsia" w:ascii="微软雅黑" w:hAnsi="微软雅黑" w:eastAsia="微软雅黑" w:cs="微软雅黑"/>
          <w:b/>
          <w:bCs/>
          <w:color w:val="auto"/>
          <w:sz w:val="27"/>
          <w:szCs w:val="27"/>
          <w:lang w:eastAsia="zh-CN"/>
        </w:rPr>
        <w:t>木寸数科</w:t>
      </w:r>
      <w:r>
        <w:rPr>
          <w:rFonts w:hint="eastAsia" w:ascii="微软雅黑" w:hAnsi="微软雅黑" w:eastAsia="微软雅黑" w:cs="微软雅黑"/>
          <w:b/>
          <w:bCs/>
          <w:color w:val="auto"/>
          <w:sz w:val="27"/>
          <w:szCs w:val="27"/>
        </w:rPr>
        <w:t xml:space="preserve">进行分类登记，依据客户交易纠葛风险程序的大小，将客户交易纠葛分为以下四大类： </w:t>
      </w:r>
    </w:p>
    <w:p w14:paraId="0A335F25">
      <w:pPr>
        <w:spacing w:after="0" w:line="293" w:lineRule="exact"/>
        <w:rPr>
          <w:rFonts w:hint="eastAsia" w:ascii="微软雅黑" w:hAnsi="微软雅黑" w:eastAsia="微软雅黑" w:cs="微软雅黑"/>
          <w:color w:val="auto"/>
          <w:sz w:val="24"/>
          <w:szCs w:val="24"/>
        </w:rPr>
      </w:pPr>
    </w:p>
    <w:p w14:paraId="3382B138">
      <w:pPr>
        <w:spacing w:after="0" w:line="434" w:lineRule="exact"/>
        <w:ind w:right="238" w:firstLine="585"/>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1、因企业有关部门业务差错或其余过失给客户造成损失引起的客户交易纠 纷； </w:t>
      </w:r>
    </w:p>
    <w:p w14:paraId="15DA9623">
      <w:pPr>
        <w:spacing w:after="0" w:line="195" w:lineRule="exact"/>
        <w:rPr>
          <w:rFonts w:hint="eastAsia" w:ascii="微软雅黑" w:hAnsi="微软雅黑" w:eastAsia="微软雅黑" w:cs="微软雅黑"/>
          <w:color w:val="auto"/>
          <w:sz w:val="24"/>
          <w:szCs w:val="24"/>
        </w:rPr>
      </w:pPr>
    </w:p>
    <w:p w14:paraId="7B64B369">
      <w:pPr>
        <w:spacing w:after="0" w:line="328" w:lineRule="exact"/>
        <w:ind w:left="580"/>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2、因为行情交易系统故障，发生应急事件等客观原由引起的客户纠葛。 </w:t>
      </w:r>
    </w:p>
    <w:p w14:paraId="57221C55">
      <w:pPr>
        <w:spacing w:after="0" w:line="243" w:lineRule="exact"/>
        <w:rPr>
          <w:rFonts w:hint="eastAsia" w:ascii="微软雅黑" w:hAnsi="微软雅黑" w:eastAsia="微软雅黑" w:cs="微软雅黑"/>
          <w:color w:val="auto"/>
          <w:sz w:val="24"/>
          <w:szCs w:val="24"/>
        </w:rPr>
      </w:pPr>
    </w:p>
    <w:p w14:paraId="60B6A53F">
      <w:pPr>
        <w:numPr>
          <w:ilvl w:val="0"/>
          <w:numId w:val="1"/>
        </w:numPr>
        <w:spacing w:after="0" w:line="240" w:lineRule="auto"/>
        <w:ind w:right="0" w:firstLine="0"/>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因客户自己对系统使用、规章制度、产品购置不熟习，或客户提出不合理要求、对职工按章事感觉不便等原由惹起的纠葛。  4、其余原由引起的客户纠葛。</w:t>
      </w:r>
    </w:p>
    <w:p w14:paraId="7B256B09">
      <w:pPr>
        <w:numPr>
          <w:numId w:val="0"/>
        </w:numPr>
        <w:spacing w:after="0" w:line="240" w:lineRule="auto"/>
        <w:ind w:right="0" w:rightChars="0"/>
        <w:rPr>
          <w:rFonts w:hint="eastAsia" w:ascii="微软雅黑" w:hAnsi="微软雅黑" w:eastAsia="微软雅黑" w:cs="微软雅黑"/>
          <w:b/>
          <w:bCs/>
          <w:color w:val="auto"/>
          <w:sz w:val="27"/>
          <w:szCs w:val="27"/>
        </w:rPr>
      </w:pPr>
    </w:p>
    <w:p w14:paraId="74C37AEB">
      <w:pPr>
        <w:spacing w:after="0" w:line="308" w:lineRule="exact"/>
        <w:ind w:right="658" w:firstLine="540" w:firstLineChars="200"/>
        <w:jc w:val="both"/>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企业有关部门应将上述客户纠葛</w:t>
      </w:r>
      <w:r>
        <w:rPr>
          <w:rFonts w:hint="eastAsia" w:ascii="微软雅黑" w:hAnsi="微软雅黑" w:eastAsia="微软雅黑" w:cs="微软雅黑"/>
          <w:b/>
          <w:bCs/>
          <w:color w:val="auto"/>
          <w:sz w:val="27"/>
          <w:szCs w:val="27"/>
          <w:lang w:eastAsia="zh-CN"/>
        </w:rPr>
        <w:t>木寸数科</w:t>
      </w:r>
      <w:r>
        <w:rPr>
          <w:rFonts w:hint="eastAsia" w:ascii="微软雅黑" w:hAnsi="微软雅黑" w:eastAsia="微软雅黑" w:cs="微软雅黑"/>
          <w:b/>
          <w:bCs/>
          <w:color w:val="auto"/>
          <w:sz w:val="27"/>
          <w:szCs w:val="27"/>
        </w:rPr>
        <w:t>分类登记结果报企业客户服务中心备案，对此中可能引起诉讼风险的纠葛</w:t>
      </w:r>
      <w:r>
        <w:rPr>
          <w:rFonts w:hint="eastAsia" w:ascii="微软雅黑" w:hAnsi="微软雅黑" w:eastAsia="微软雅黑" w:cs="微软雅黑"/>
          <w:b/>
          <w:bCs/>
          <w:color w:val="auto"/>
          <w:sz w:val="27"/>
          <w:szCs w:val="27"/>
          <w:lang w:eastAsia="zh-CN"/>
        </w:rPr>
        <w:t>木寸数科</w:t>
      </w:r>
      <w:r>
        <w:rPr>
          <w:rFonts w:hint="eastAsia" w:ascii="微软雅黑" w:hAnsi="微软雅黑" w:eastAsia="微软雅黑" w:cs="微软雅黑"/>
          <w:b/>
          <w:bCs/>
          <w:color w:val="auto"/>
          <w:sz w:val="27"/>
          <w:szCs w:val="27"/>
        </w:rPr>
        <w:t xml:space="preserve">要点监控并同时报风险管理部存案。 </w:t>
      </w:r>
    </w:p>
    <w:p w14:paraId="5F7E0AC0">
      <w:pPr>
        <w:spacing w:after="0" w:line="302" w:lineRule="exact"/>
        <w:rPr>
          <w:rFonts w:hint="eastAsia" w:ascii="微软雅黑" w:hAnsi="微软雅黑" w:eastAsia="微软雅黑" w:cs="微软雅黑"/>
          <w:color w:val="auto"/>
          <w:sz w:val="20"/>
          <w:szCs w:val="20"/>
        </w:rPr>
      </w:pPr>
    </w:p>
    <w:p w14:paraId="72F78C50">
      <w:pPr>
        <w:spacing w:after="0" w:line="487" w:lineRule="exact"/>
        <w:ind w:right="278" w:firstLine="585"/>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 xml:space="preserve">关于以上分类登记的客户交易纠结，就贯彻以下应付、办理原则：  </w:t>
      </w:r>
    </w:p>
    <w:p w14:paraId="4DB62A5E">
      <w:pPr>
        <w:numPr>
          <w:ilvl w:val="0"/>
          <w:numId w:val="2"/>
        </w:numPr>
        <w:spacing w:after="0" w:line="487" w:lineRule="exact"/>
        <w:ind w:right="278" w:firstLine="585"/>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 xml:space="preserve">关于客户自己原由形成的纠葛，以做好客户的解说工作为主，企业有关部门 应从客户的角度考虑纠葛产生的原由，设计有针对性的解决方案；  </w:t>
      </w:r>
    </w:p>
    <w:p w14:paraId="7D47C08F">
      <w:pPr>
        <w:numPr>
          <w:ilvl w:val="0"/>
          <w:numId w:val="0"/>
        </w:numPr>
        <w:spacing w:after="0" w:line="487" w:lineRule="exact"/>
        <w:ind w:right="278" w:rightChars="0" w:firstLine="540" w:firstLineChars="200"/>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2、关于因企业原由形成的，坚持以减少诉讼防备风险为主，踊跃做好客户的沟 </w:t>
      </w:r>
    </w:p>
    <w:p w14:paraId="32E8C6F3">
      <w:pPr>
        <w:spacing w:after="0" w:line="200" w:lineRule="exact"/>
        <w:rPr>
          <w:rFonts w:hint="eastAsia" w:ascii="微软雅黑" w:hAnsi="微软雅黑" w:eastAsia="微软雅黑" w:cs="微软雅黑"/>
          <w:color w:val="auto"/>
          <w:sz w:val="20"/>
          <w:szCs w:val="20"/>
        </w:rPr>
      </w:pPr>
    </w:p>
    <w:p w14:paraId="0F8531B8">
      <w:pPr>
        <w:spacing w:after="0" w:line="297" w:lineRule="exact"/>
        <w:rPr>
          <w:rFonts w:hint="eastAsia" w:ascii="微软雅黑" w:hAnsi="微软雅黑" w:eastAsia="微软雅黑" w:cs="微软雅黑"/>
          <w:color w:val="auto"/>
          <w:sz w:val="20"/>
          <w:szCs w:val="20"/>
        </w:rPr>
      </w:pPr>
    </w:p>
    <w:p w14:paraId="01BE7604">
      <w:pPr>
        <w:ind w:firstLine="540" w:firstLineChars="200"/>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通解说工作并配合客户解决问题，平台将踊跃辅助花费者保护合法权益。</w:t>
      </w:r>
      <w:r>
        <w:rPr>
          <w:rFonts w:hint="eastAsia" w:ascii="微软雅黑" w:hAnsi="微软雅黑" w:eastAsia="微软雅黑" w:cs="微软雅黑"/>
          <w:b/>
          <w:bCs/>
          <w:color w:val="auto"/>
          <w:sz w:val="27"/>
          <w:szCs w:val="27"/>
          <w:lang w:val="en-US" w:eastAsia="zh-CN"/>
        </w:rPr>
        <w:t>若因平台系统故障、审核疏漏或管理不当导致用户遭受财产损失，平台承诺承担兜底赔付责任。在核实损失后，平台将先行向用户进行赔偿，或全额退还相关款项，确保用户权益不受损。若损失涉及第三方商家，平台在赔付用户后，将依法向第三方商家进行追偿。</w:t>
      </w:r>
      <w:r>
        <w:rPr>
          <w:rFonts w:hint="eastAsia" w:ascii="微软雅黑" w:hAnsi="微软雅黑" w:eastAsia="微软雅黑" w:cs="微软雅黑"/>
          <w:b/>
          <w:bCs/>
          <w:color w:val="auto"/>
          <w:sz w:val="27"/>
          <w:szCs w:val="27"/>
        </w:rPr>
        <w:t>在交易争办理中，平台应该供给用户全部交易记录。因平台丢</w:t>
      </w:r>
      <w:bookmarkStart w:id="0" w:name="_GoBack"/>
      <w:bookmarkEnd w:id="0"/>
      <w:r>
        <w:rPr>
          <w:rFonts w:hint="eastAsia" w:ascii="微软雅黑" w:hAnsi="微软雅黑" w:eastAsia="微软雅黑" w:cs="微软雅黑"/>
          <w:b/>
          <w:bCs/>
          <w:color w:val="auto"/>
          <w:sz w:val="27"/>
          <w:szCs w:val="27"/>
        </w:rPr>
        <w:t>掉、假造、窜改、销毁、隐藏许拒绝供给前述资料，致令人民法院、仲裁机构或许有关机关没法查明事实的，平担当相应的法律责任。</w:t>
      </w:r>
    </w:p>
    <w:p w14:paraId="4BF164C5">
      <w:pPr>
        <w:spacing w:after="0" w:line="308" w:lineRule="exact"/>
        <w:jc w:val="center"/>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三、非诉讼纠葛的办理流程</w:t>
      </w:r>
    </w:p>
    <w:p w14:paraId="4BE040C0">
      <w:pPr>
        <w:spacing w:after="0" w:line="200" w:lineRule="exact"/>
        <w:rPr>
          <w:rFonts w:hint="eastAsia" w:ascii="微软雅黑" w:hAnsi="微软雅黑" w:eastAsia="微软雅黑" w:cs="微软雅黑"/>
          <w:color w:val="auto"/>
          <w:sz w:val="20"/>
          <w:szCs w:val="20"/>
        </w:rPr>
      </w:pPr>
    </w:p>
    <w:p w14:paraId="64329E39">
      <w:pPr>
        <w:spacing w:after="0" w:line="232" w:lineRule="exact"/>
        <w:rPr>
          <w:rFonts w:hint="eastAsia" w:ascii="微软雅黑" w:hAnsi="微软雅黑" w:eastAsia="微软雅黑" w:cs="微软雅黑"/>
          <w:color w:val="auto"/>
          <w:sz w:val="20"/>
          <w:szCs w:val="20"/>
        </w:rPr>
      </w:pPr>
    </w:p>
    <w:p w14:paraId="300EDFB7">
      <w:pPr>
        <w:spacing w:after="0" w:line="412" w:lineRule="exact"/>
        <w:ind w:right="-1" w:firstLine="585"/>
        <w:jc w:val="both"/>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企业有关部门在办理客户交易纠葛过程中，应以除去矛盾、和缓纷争为原则，与客户交流协调。有关部门已发生的非诉纠葛事项，有关部门应视状况采纳追踪核查、磋商解决等举措，并实时将有关状况报企业主管部门。 </w:t>
      </w:r>
    </w:p>
    <w:p w14:paraId="134EFC42">
      <w:pPr>
        <w:spacing w:after="0" w:line="200" w:lineRule="exact"/>
        <w:rPr>
          <w:rFonts w:hint="eastAsia" w:ascii="微软雅黑" w:hAnsi="微软雅黑" w:eastAsia="微软雅黑" w:cs="微软雅黑"/>
          <w:color w:val="auto"/>
          <w:sz w:val="20"/>
          <w:szCs w:val="20"/>
        </w:rPr>
      </w:pPr>
    </w:p>
    <w:p w14:paraId="5DA08F2B">
      <w:pPr>
        <w:spacing w:after="0" w:line="316" w:lineRule="exact"/>
        <w:rPr>
          <w:rFonts w:hint="eastAsia" w:ascii="微软雅黑" w:hAnsi="微软雅黑" w:eastAsia="微软雅黑" w:cs="微软雅黑"/>
          <w:color w:val="auto"/>
          <w:sz w:val="20"/>
          <w:szCs w:val="20"/>
        </w:rPr>
      </w:pPr>
    </w:p>
    <w:p w14:paraId="49F642B9">
      <w:pPr>
        <w:spacing w:after="0" w:line="485" w:lineRule="exact"/>
        <w:ind w:right="18" w:firstLine="520" w:firstLineChars="200"/>
        <w:jc w:val="both"/>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6"/>
          <w:szCs w:val="26"/>
        </w:rPr>
        <w:t>企业指定办理客户交易纠葛的客户服务负责人，在接到客户投诉后应第一剖析投诉形成原由，如为职工业务差错所以致，应由客户服务负责人为主成立协调小组，负责实时与客户磋商补偿方案;如补偿方案波及金额不足 1000 元的，由部门领导审批波及金额超出 1000 元的，应经企业总经理审批后办理，并知会风险管理部。如受的投诉内容波及到企业有关规定或系统运转等状况时，客户服务负责人应在认识状况后与企业有关部门交流解决，必需时应形成详尽的文字资料报告给风险管理部。</w:t>
      </w:r>
    </w:p>
    <w:p w14:paraId="51B39949">
      <w:pPr>
        <w:spacing w:after="0" w:line="200" w:lineRule="exact"/>
        <w:rPr>
          <w:rFonts w:hint="eastAsia" w:ascii="微软雅黑" w:hAnsi="微软雅黑" w:eastAsia="微软雅黑" w:cs="微软雅黑"/>
          <w:color w:val="auto"/>
          <w:sz w:val="20"/>
          <w:szCs w:val="20"/>
        </w:rPr>
      </w:pPr>
    </w:p>
    <w:p w14:paraId="29D2278C">
      <w:pPr>
        <w:spacing w:after="0" w:line="307" w:lineRule="exact"/>
        <w:rPr>
          <w:rFonts w:hint="eastAsia" w:ascii="微软雅黑" w:hAnsi="微软雅黑" w:eastAsia="微软雅黑" w:cs="微软雅黑"/>
          <w:color w:val="auto"/>
          <w:sz w:val="20"/>
          <w:szCs w:val="20"/>
        </w:rPr>
      </w:pPr>
    </w:p>
    <w:p w14:paraId="7F0CB02A">
      <w:pPr>
        <w:ind w:firstLine="540" w:firstLineChars="200"/>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企业有关部门指定办理客户交易纠葛的客户服务责任人，接到客户投诉后由该责任人先负责与客户联系磋商，并将客户投诉状况、解决问题的方案报告给部门负责人，供其进行决议。如客户服务责任人与客户磋商未果的，应将状况说明报送至部门领导，由部门领导在剖析、判断基础上提出相应办理建议，再交有关业务部门办理;如投诉波及有关法律问题的，由客户服务中心将有关法律问题以书面文件形式提交风险管理部，由风险管理部供给相应办理建议。</w:t>
      </w:r>
    </w:p>
    <w:p w14:paraId="69B9C1E5">
      <w:pPr>
        <w:rPr>
          <w:rFonts w:hint="eastAsia" w:ascii="微软雅黑" w:hAnsi="微软雅黑" w:eastAsia="微软雅黑" w:cs="微软雅黑"/>
          <w:b/>
          <w:bCs/>
          <w:color w:val="auto"/>
          <w:sz w:val="27"/>
          <w:szCs w:val="27"/>
        </w:rPr>
      </w:pPr>
    </w:p>
    <w:p w14:paraId="1931005B">
      <w:pPr>
        <w:numPr>
          <w:ilvl w:val="0"/>
          <w:numId w:val="3"/>
        </w:numPr>
        <w:spacing w:after="0" w:line="308" w:lineRule="exact"/>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诉讼纠葛的风险评估、论证及应付举措</w:t>
      </w:r>
    </w:p>
    <w:p w14:paraId="737310DF">
      <w:pPr>
        <w:numPr>
          <w:ilvl w:val="0"/>
          <w:numId w:val="0"/>
        </w:numPr>
        <w:spacing w:after="0" w:line="308" w:lineRule="exact"/>
        <w:jc w:val="both"/>
        <w:rPr>
          <w:rFonts w:hint="eastAsia" w:ascii="微软雅黑" w:hAnsi="微软雅黑" w:eastAsia="微软雅黑" w:cs="微软雅黑"/>
          <w:b/>
          <w:bCs/>
          <w:color w:val="auto"/>
          <w:sz w:val="27"/>
          <w:szCs w:val="27"/>
        </w:rPr>
      </w:pPr>
    </w:p>
    <w:p w14:paraId="67A4B14D">
      <w:pPr>
        <w:spacing w:after="0" w:line="482" w:lineRule="exact"/>
        <w:ind w:right="-1" w:firstLine="540" w:firstLineChars="200"/>
        <w:jc w:val="both"/>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因客户交易纠葛被诉的，应实时报企业客户服务部微风险管理部，由风险管理部提出解决方案，经征询有关部门建议，报企业领导同意后实行。风险管理部收到客户部传达的诉讼资料后，应该实时就诉讼的事实依照能否齐备、法律依照否充分、企业及营业部可能承受的败诉风险大小等问题组织论证，提出应付或处建议。客户独自起诉企业作为共同被告的以下诉讼，应将办理结果报风险管理部存案:</w:t>
      </w:r>
    </w:p>
    <w:p w14:paraId="02FEA8D5">
      <w:pPr>
        <w:numPr>
          <w:ilvl w:val="0"/>
          <w:numId w:val="4"/>
        </w:numPr>
        <w:spacing w:after="0" w:line="482" w:lineRule="exact"/>
        <w:ind w:right="-1"/>
        <w:jc w:val="both"/>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波及金额较小的诉讼 ;</w:t>
      </w:r>
    </w:p>
    <w:p w14:paraId="4E7C9FEC">
      <w:pPr>
        <w:numPr>
          <w:ilvl w:val="0"/>
          <w:numId w:val="4"/>
        </w:numPr>
        <w:spacing w:after="0" w:line="482" w:lineRule="exact"/>
        <w:ind w:left="0" w:leftChars="0" w:right="-1" w:rightChars="0" w:firstLine="0" w:firstLineChars="0"/>
        <w:jc w:val="both"/>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其企业影响较大的诉讼。</w:t>
      </w:r>
    </w:p>
    <w:p w14:paraId="3482BE04">
      <w:pPr>
        <w:numPr>
          <w:ilvl w:val="0"/>
          <w:numId w:val="0"/>
        </w:numPr>
        <w:spacing w:after="0" w:line="482" w:lineRule="exact"/>
        <w:ind w:leftChars="0" w:right="-1" w:rightChars="0" w:firstLine="540" w:firstLineChars="200"/>
        <w:jc w:val="both"/>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必需时，企业能够邀请具备资质的执业律师及律师机构辅助办理诉讼事务和起草、审察重要法律文件，企业关部门自行办理客户交易纠葛过程中提交有关司法机关或其余主管 </w:t>
      </w:r>
    </w:p>
    <w:p w14:paraId="52422262">
      <w:pPr>
        <w:spacing w:after="0" w:line="200" w:lineRule="exact"/>
        <w:rPr>
          <w:rFonts w:hint="eastAsia" w:ascii="微软雅黑" w:hAnsi="微软雅黑" w:eastAsia="微软雅黑" w:cs="微软雅黑"/>
          <w:color w:val="auto"/>
          <w:sz w:val="20"/>
          <w:szCs w:val="20"/>
        </w:rPr>
      </w:pPr>
    </w:p>
    <w:p w14:paraId="683AF3B9">
      <w:pPr>
        <w:spacing w:after="0" w:line="285" w:lineRule="exact"/>
        <w:rPr>
          <w:rFonts w:hint="eastAsia" w:ascii="微软雅黑" w:hAnsi="微软雅黑" w:eastAsia="微软雅黑" w:cs="微软雅黑"/>
          <w:color w:val="auto"/>
          <w:sz w:val="20"/>
          <w:szCs w:val="20"/>
        </w:rPr>
      </w:pPr>
    </w:p>
    <w:p w14:paraId="4F95937E">
      <w:pPr>
        <w:ind w:firstLine="540" w:firstLineChars="200"/>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机关的法律文件，以及需要企业签订的法律文件，应经风险管理部审察。风险管理部能够直接向企业有关部门调取诉讼凭证资料，经审察以为需要由有关部门增补凭证资料的，能够要求其增补。由风险管理部负责办理或邀请执业律师代理的诉讼，风险管理部应实时形成案件进展报告报企业总经理。</w:t>
      </w:r>
    </w:p>
    <w:p w14:paraId="6602513E">
      <w:pPr>
        <w:spacing w:after="0" w:line="308" w:lineRule="exact"/>
        <w:ind w:left="3200"/>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五、其余事项 </w:t>
      </w:r>
    </w:p>
    <w:p w14:paraId="0816E71E">
      <w:pPr>
        <w:spacing w:after="0" w:line="200" w:lineRule="exact"/>
        <w:rPr>
          <w:rFonts w:hint="eastAsia" w:ascii="微软雅黑" w:hAnsi="微软雅黑" w:eastAsia="微软雅黑" w:cs="微软雅黑"/>
          <w:color w:val="auto"/>
          <w:sz w:val="20"/>
          <w:szCs w:val="20"/>
        </w:rPr>
      </w:pPr>
    </w:p>
    <w:p w14:paraId="7B18B606">
      <w:pPr>
        <w:spacing w:after="0" w:line="212" w:lineRule="exact"/>
        <w:rPr>
          <w:rFonts w:hint="eastAsia" w:ascii="微软雅黑" w:hAnsi="微软雅黑" w:eastAsia="微软雅黑" w:cs="微软雅黑"/>
          <w:color w:val="auto"/>
          <w:sz w:val="20"/>
          <w:szCs w:val="20"/>
        </w:rPr>
      </w:pPr>
    </w:p>
    <w:p w14:paraId="62765256">
      <w:pPr>
        <w:spacing w:after="0" w:line="355" w:lineRule="exact"/>
        <w:ind w:right="-1" w:firstLine="585"/>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本制度合用于企业有关部门波及的客户交易纠葛。本制度未作规定的，合用企业其余有关文件的规定。本制度由风险管理部负责解说。 </w:t>
      </w:r>
    </w:p>
    <w:p w14:paraId="472D2D5B">
      <w:pPr>
        <w:spacing w:after="0" w:line="200" w:lineRule="exact"/>
        <w:rPr>
          <w:rFonts w:hint="eastAsia" w:ascii="微软雅黑" w:hAnsi="微软雅黑" w:eastAsia="微软雅黑" w:cs="微软雅黑"/>
          <w:color w:val="auto"/>
          <w:sz w:val="20"/>
          <w:szCs w:val="20"/>
        </w:rPr>
      </w:pPr>
    </w:p>
    <w:p w14:paraId="0FB08BB3">
      <w:pPr>
        <w:spacing w:after="0" w:line="200" w:lineRule="exact"/>
        <w:rPr>
          <w:rFonts w:hint="eastAsia" w:ascii="微软雅黑" w:hAnsi="微软雅黑" w:eastAsia="微软雅黑" w:cs="微软雅黑"/>
          <w:color w:val="auto"/>
          <w:sz w:val="20"/>
          <w:szCs w:val="20"/>
        </w:rPr>
      </w:pPr>
    </w:p>
    <w:p w14:paraId="7B2CAD1C">
      <w:pPr>
        <w:spacing w:after="0" w:line="200" w:lineRule="exact"/>
        <w:rPr>
          <w:rFonts w:hint="eastAsia" w:ascii="微软雅黑" w:hAnsi="微软雅黑" w:eastAsia="微软雅黑" w:cs="微软雅黑"/>
          <w:color w:val="auto"/>
          <w:sz w:val="20"/>
          <w:szCs w:val="20"/>
        </w:rPr>
      </w:pPr>
    </w:p>
    <w:p w14:paraId="2141A912">
      <w:pPr>
        <w:spacing w:after="0" w:line="253" w:lineRule="exact"/>
        <w:rPr>
          <w:rFonts w:hint="eastAsia" w:ascii="微软雅黑" w:hAnsi="微软雅黑" w:eastAsia="微软雅黑" w:cs="微软雅黑"/>
          <w:color w:val="auto"/>
          <w:sz w:val="20"/>
          <w:szCs w:val="20"/>
        </w:rPr>
      </w:pPr>
    </w:p>
    <w:p w14:paraId="51730C91">
      <w:pPr>
        <w:spacing w:after="0" w:line="308" w:lineRule="exact"/>
        <w:ind w:left="6820"/>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rPr>
        <w:t xml:space="preserve">（签章） </w:t>
      </w:r>
    </w:p>
    <w:p w14:paraId="2DB59160">
      <w:pPr>
        <w:spacing w:after="0" w:line="212" w:lineRule="exact"/>
        <w:rPr>
          <w:rFonts w:hint="eastAsia" w:ascii="微软雅黑" w:hAnsi="微软雅黑" w:eastAsia="微软雅黑" w:cs="微软雅黑"/>
          <w:color w:val="auto"/>
          <w:sz w:val="20"/>
          <w:szCs w:val="20"/>
        </w:rPr>
      </w:pPr>
    </w:p>
    <w:p w14:paraId="6935B70D">
      <w:pPr>
        <w:spacing w:after="0" w:line="308" w:lineRule="exact"/>
        <w:jc w:val="right"/>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7"/>
          <w:szCs w:val="27"/>
          <w:lang w:eastAsia="zh-CN"/>
        </w:rPr>
        <w:t>成都木寸数渠聚势科技有限公司</w:t>
      </w:r>
      <w:r>
        <w:rPr>
          <w:rFonts w:hint="eastAsia" w:ascii="微软雅黑" w:hAnsi="微软雅黑" w:eastAsia="微软雅黑" w:cs="微软雅黑"/>
          <w:b/>
          <w:bCs/>
          <w:color w:val="auto"/>
          <w:sz w:val="27"/>
          <w:szCs w:val="27"/>
        </w:rPr>
        <w:t xml:space="preserve"> </w:t>
      </w:r>
    </w:p>
    <w:p w14:paraId="01189F25">
      <w:pPr>
        <w:spacing w:after="0" w:line="200" w:lineRule="exact"/>
        <w:rPr>
          <w:rFonts w:hint="eastAsia" w:ascii="微软雅黑" w:hAnsi="微软雅黑" w:eastAsia="微软雅黑" w:cs="微软雅黑"/>
          <w:color w:val="auto"/>
          <w:sz w:val="20"/>
          <w:szCs w:val="20"/>
        </w:rPr>
      </w:pPr>
    </w:p>
    <w:p w14:paraId="63FD928E">
      <w:pPr>
        <w:jc w:val="right"/>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20</w:t>
      </w:r>
      <w:r>
        <w:rPr>
          <w:rFonts w:hint="eastAsia" w:ascii="微软雅黑" w:hAnsi="微软雅黑" w:eastAsia="微软雅黑" w:cs="微软雅黑"/>
          <w:b/>
          <w:bCs/>
          <w:color w:val="auto"/>
          <w:sz w:val="27"/>
          <w:szCs w:val="27"/>
          <w:lang w:val="en-US" w:eastAsia="zh-CN"/>
        </w:rPr>
        <w:t>25</w:t>
      </w:r>
      <w:r>
        <w:rPr>
          <w:rFonts w:hint="eastAsia" w:ascii="微软雅黑" w:hAnsi="微软雅黑" w:eastAsia="微软雅黑" w:cs="微软雅黑"/>
          <w:b/>
          <w:bCs/>
          <w:color w:val="auto"/>
          <w:sz w:val="27"/>
          <w:szCs w:val="27"/>
        </w:rPr>
        <w:t xml:space="preserve"> 年 12 月 </w:t>
      </w:r>
      <w:r>
        <w:rPr>
          <w:rFonts w:hint="eastAsia" w:ascii="微软雅黑" w:hAnsi="微软雅黑" w:eastAsia="微软雅黑" w:cs="微软雅黑"/>
          <w:b/>
          <w:bCs/>
          <w:color w:val="auto"/>
          <w:sz w:val="27"/>
          <w:szCs w:val="27"/>
          <w:lang w:val="en-US" w:eastAsia="zh-CN"/>
        </w:rPr>
        <w:t>13</w:t>
      </w:r>
      <w:r>
        <w:rPr>
          <w:rFonts w:hint="eastAsia" w:ascii="微软雅黑" w:hAnsi="微软雅黑" w:eastAsia="微软雅黑" w:cs="微软雅黑"/>
          <w:b/>
          <w:bCs/>
          <w:color w:val="auto"/>
          <w:sz w:val="27"/>
          <w:szCs w:val="27"/>
        </w:rPr>
        <w:t xml:space="preserve"> 日</w:t>
      </w:r>
    </w:p>
    <w:p w14:paraId="05002BCE">
      <w:pPr>
        <w:rPr>
          <w:rFonts w:hint="eastAsia" w:ascii="微软雅黑" w:hAnsi="微软雅黑" w:eastAsia="微软雅黑" w:cs="微软雅黑"/>
          <w:b/>
          <w:bCs/>
          <w:color w:val="auto"/>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7D048"/>
    <w:multiLevelType w:val="singleLevel"/>
    <w:tmpl w:val="A317D048"/>
    <w:lvl w:ilvl="0" w:tentative="0">
      <w:start w:val="4"/>
      <w:numFmt w:val="chineseCounting"/>
      <w:suff w:val="nothing"/>
      <w:lvlText w:val="%1、"/>
      <w:lvlJc w:val="left"/>
      <w:rPr>
        <w:rFonts w:hint="eastAsia"/>
      </w:rPr>
    </w:lvl>
  </w:abstractNum>
  <w:abstractNum w:abstractNumId="1">
    <w:nsid w:val="A6A559DC"/>
    <w:multiLevelType w:val="singleLevel"/>
    <w:tmpl w:val="A6A559DC"/>
    <w:lvl w:ilvl="0" w:tentative="0">
      <w:start w:val="3"/>
      <w:numFmt w:val="decimal"/>
      <w:suff w:val="nothing"/>
      <w:lvlText w:val="%1、"/>
      <w:lvlJc w:val="left"/>
    </w:lvl>
  </w:abstractNum>
  <w:abstractNum w:abstractNumId="2">
    <w:nsid w:val="DF04B50D"/>
    <w:multiLevelType w:val="singleLevel"/>
    <w:tmpl w:val="DF04B50D"/>
    <w:lvl w:ilvl="0" w:tentative="0">
      <w:start w:val="1"/>
      <w:numFmt w:val="decimal"/>
      <w:suff w:val="nothing"/>
      <w:lvlText w:val="%1、"/>
      <w:lvlJc w:val="left"/>
    </w:lvl>
  </w:abstractNum>
  <w:abstractNum w:abstractNumId="3">
    <w:nsid w:val="02EEA672"/>
    <w:multiLevelType w:val="singleLevel"/>
    <w:tmpl w:val="02EEA672"/>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E56A3"/>
    <w:rsid w:val="4A8F20B6"/>
    <w:rsid w:val="50677D28"/>
    <w:rsid w:val="53C82245"/>
    <w:rsid w:val="542E05C9"/>
    <w:rsid w:val="5E6C411B"/>
    <w:rsid w:val="6B1E69D1"/>
    <w:rsid w:val="73EE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2025</Words>
  <Characters>2036</Characters>
  <Lines>0</Lines>
  <Paragraphs>0</Paragraphs>
  <TotalTime>3</TotalTime>
  <ScaleCrop>false</ScaleCrop>
  <LinksUpToDate>false</LinksUpToDate>
  <CharactersWithSpaces>2075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2025-12-13T08:10:00Z</dcterms:created>
  <dc:creator>李彦</dc:creator>
  <cp:lastModifiedBy>杨佳</cp:lastModifiedBy>
  <dcterms:modified xsi:type="dcterms:W3CDTF">2026-04-11T02:49:07Z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341DD84A0C534E8D95A50EC7419C5DBE_11</vt:lpwstr>
  </property>
  <property fmtid="{D5CDD505-2E9C-101B-9397-08002B2CF9AE}" pid="4" name="KSOTemplateDocerSaveRecord">
    <vt:lpwstr>eyJoZGlkIjoiYjM4NDljYjQ5M2NiYjIyNjQ5OTQxNWI2NTU2MDRlOTciLCJ1c2VySWQiOiIxMTIzMzQ5MjQ3In0=</vt:lpwstr>
  </property>
</Properties>
</file>